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</w:t>
      </w:r>
      <w:r>
        <w:rPr>
          <w:rFonts w:ascii="Times New Roman" w:hAnsi="Times New Roman" w:cs="Times New Roman"/>
          <w:sz w:val="22"/>
          <w:szCs w:val="22"/>
        </w:rPr>
        <w:t xml:space="preserve">ИЯ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вакантных должностях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1797"/>
        <w:gridCol w:w="1"/>
        <w:gridCol w:w="77"/>
        <w:gridCol w:w="2948"/>
        <w:gridCol w:w="67"/>
        <w:gridCol w:w="1370"/>
        <w:gridCol w:w="31"/>
        <w:gridCol w:w="2438"/>
        <w:gridCol w:w="216"/>
        <w:gridCol w:w="1332"/>
        <w:gridCol w:w="216"/>
        <w:gridCol w:w="1264"/>
        <w:gridCol w:w="1461"/>
        <w:gridCol w:w="12"/>
        <w:gridCol w:w="913"/>
        <w:gridCol w:w="1472"/>
      </w:tblGrid>
      <w:tr>
        <w:tblPrEx/>
        <w:trPr/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(работы)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(указывается населенный пункт)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4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Оплата труда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оклада месячного денежного содержания, надбавок, ежемесячного денежного поощрения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3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Первый заместитель министра жилищно-коммунального энергетики, цифровизации и связи Забайкальского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hyperlink r:id="rId9" w:tooltip="https://gossluzhba.gov.ru/vacancy/9e5daf3a-3f3a-4138-a544-f9e9f6e818ab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  <w:lang w:val="ru-RU"/>
                </w:rPr>
                <w:t xml:space="preserve">https://gossluzhba.gov.ru/vacancy/9e5daf3a-3f3a-4138-a544-f9e9f6e818ab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образование не ниже уровня специалитета, магистратуры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«Юриспруденция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 «Экономика», «Менеджмент», «Государственное и муниципальное управление», «Архитектура и строительство», «Градостроительство», «Теплоэнергетика и теплотехника», «Электроэнергетика и электротехника», «Техника и технологии строительства», «Строительство»,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«Агроинженерия»,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«Жилищное хозяйство и коммунальная инфраструктура»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эффективное взаимодействие с исполнительными органами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Забайкальского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организациями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общественными объединениями в пределах компетенции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 необходимую информацию в порядке и сроки, установленные действующим законодательством;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систематически повышает свой профессиональный уровень в соответствии с действующим законодательством;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анализирует практику применения действующего законодательства Росс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ийской Федерации, субъектов Российской Федерации и мнения ведущих ученых по вопросам, относящимся к компетенции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инистерства.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227 368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273 242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0" w:tooltip="https://gossluzhba.gov.ru/vacancy/b1b5082f-8409-46a8-a9c5-0f63dfacd82f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https://gossluzhba.gov.ru/vacancy/b1b5082f-8409-46a8-a9c5-0f63dfacd82f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 «Менеджмент»,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«Электро- и тепло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Теплоэнергетика и теплотехника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«Электроэнергетика и электротехника», «Агроинженерия», «Техника и технологии строительства»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визирует подготовленные государственными гражданскими служащими управления материалы, подписывает служебную документацию в пределах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утверждает текущие, перспективные планы работы министерства, осуществляет контроль за ходом их выполнения;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содействует государственным гражданским служащим министерства в подготовке материалов и опубликовании их в печати, а также электронных средствах массовой информации;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курир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проект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сфере развития топливно-энергетического комплекса и жилищно-коммунального хозяйства;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готовит предложения по формированию показателей проекта бюджета Забайкальского края.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155 000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201 000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Помощник министра (по вопросам взаимодействия со СМИ)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1" w:tooltip="https://gossluzhba.gov.ru/vacancy/f244065b-ca82-4877-a3df-1cb934c335f2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https://gossluzhba.gov.ru/vacancy/f244065b-ca82-4877-a3df-1cb934c335f2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«История», «Экономика», «Международные отношения»,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«Журналистика»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«Реклама и связи с общественностью»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«Государственное и муниципальное управление»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наличие не менее двух лет стажа гражданской службы или стажа работы по специальности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взаимодейств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общественными организациями;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готовит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информационные материалы для СМИ, участв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в подготовке пресс-релизов, интервью и других материалов для СМИ;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организ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овывать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рабочих командировок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Министра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заседаний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фотосъемку мероприятий;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обеспечива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контентное наполнение официальных страниц Министерства в социальных сетях.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56 868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85 000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энергетики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hyperlink r:id="rId12" w:tooltip="https://gossluzhba.gov.ru/vacancy/5e18d2e0-735c-4e06-a187-24eab1ce8fa3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https://gossluzhba.gov.ru/vacancy/5e18d2e0-735c-4e06-a187-24eab1ce8fa3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шее образование по специальностям, направлениям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формировать перечень объектов топливно-энергетического комплекса, подлежащих категорированию;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подготавливать предложение в Правительство Забайкальс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кого края о создании (актуализа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ции) штаба по обеспечению безопасности электроснабжения, актуализации его состава;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организовывать заседания штаба по обеспечению безопасности электроснабжения, вести протоколы заседаний;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являться помощником секретаря Штаба по обеспечению безопасности электроснабжения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61 518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86 482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энергетики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pacing w:val="-4"/>
                <w:sz w:val="22"/>
                <w:szCs w:val="22"/>
                <w:highlight w:val="none"/>
              </w:rPr>
            </w:r>
            <w:hyperlink r:id="rId13" w:tooltip="https://gossluzhba.gov.ru/vacancy/4514faff-de5a-4776-adf4-ac5982aeb25e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  <w:t xml:space="preserve">https://gossluzhba.gov.ru/vacancy/4514faff-de5a-4776-adf4-ac5982aeb25e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«Электро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организации и осуществлении работы по разработке и реализации краевых целевых программ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на территории края;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 подготовку правовых актов по направлениям деятельности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в пределах компетенции Министерства;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4" w:tooltip="https://gossluzhba.gov.ru/vacancy/bd87faa2-e2e1-4e67-b77a-3b15a530b28a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https://gossluzhba.gov.ru/vacancy/bd87faa2-e2e1-4e67-b77a-3b15a530b28a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согласовании режима работы всех отделений «Почта России»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координация работы всех операторов связи реализующих свою детальность на территории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организации и реализации мероприятий по предоставлению современных услуг связи на территории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работах по созданию и функционированию информационных систем.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hyperlink r:id="rId15" w:tooltip="https://gossluzhba.gov.ru/vacancy/1b19be1b-ec82-4cf9-ae6f-f88161b8458d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  <w:t xml:space="preserve">https://gossluzhba.gov.ru/vacancy/1b19be1b-ec82-4cf9-ae6f-f88161b8458d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</w:hyperlink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совместно с ответственными лицами за проведение закупок участвовать в выборе способа определения поставщика (подрядчика, исполнителя), подготовке документации о закупках, проектов контрактов, заключение которых осуществляется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обеспечивать осуществление закупок, в том числе заключение контрактов (взаимодействие с уполномоченным органом в сфере закупок, с победителем торгов);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лять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банковских гарантий и организаци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осуществления уплаты денежных сумм по банковской гарантии;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регистрировать контракты на официальном сайте Единой информационной системы в сфере закупок.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стратегического планирования и сопровождения инвестиционных проектов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6" w:tooltip="https://gossluzhba.gov.ru/vacancy/4585f0b0-1be8-4283-a9ac-a795c517a074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https://gossluzhba.gov.ru/vacancy/4585f0b0-1be8-4283-a9ac-a795c517a074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управление», «Экономика», «Менеджмент», «Архитектура»,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«Юриспруденция»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прогнозов социально-экономического развития края по показателям жилищно-коммунального хозяйства в пределах полномочий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предложений по реализации государственных программ, реализуемых Министерством, в рамках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9"/>
              <w:ind w:left="142" w:firstLine="0"/>
              <w:jc w:val="center"/>
              <w:tabs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проведении семинаров, совещаний, круглых столов по вопросам функционирования жилищно-коммунального хозяйства края, относящимся к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Главный специалист-эксперт отдела политики энергосбережения, топливо- и газоснабжения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7" w:tooltip="https://gossluzhba.gov.ru/vacancy/a0b4c39e-c772-4ddd-abc3-7b2255e102b9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https://gossluzhba.gov.ru/vacancy/a0b4c39e-c772-4ddd-abc3-7b2255e102b9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у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жданской службы или стажу работы по специальности, направлению подготовки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роведение мониторинга деятельности предприятий, занимающихся регулируемыми видами деятельности, по вопросам повышения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эн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ергоэффективности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, выработка предложений по повышению эффективности;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  <w:p>
            <w:pPr>
              <w:ind w:left="142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предоставление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ышения энергетической 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необходимой информации в соответствии с правилами, утвержденными Правительством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36 959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68 395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должности работников с оплатой труда на основе профессиональных квалификационных групп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цифровой инфраструктуры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укрупненных групп«Компьютерные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«Информационная 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либо по специальности, направлению подготовки «Прикладная математика и информатика», «Государственное и муниципальное управление», «Бизнес-информатика»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еспечение реализации мероприятий по созданию, развитию и эксплуатации информационных систем, оператором которых является 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координация открытия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консультирование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контроль функционирования пунктов подтверждения полной учетной записи в ЕСИА (далее – Центры обслуживания) на базе исполнительных органов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а также их подведомственных организаций.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развития жилищно-коммунального хозяйства управления жилищно-коммунального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укрупненной группе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 и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«Строительство», «Теплоэнергетика и теплотехника», «Электроэнергетика и 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«Техносферная безопасность»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рассматривать в установленном порядке жалобы, обращения, заявления граждан, общественных объединений, органов государственной власти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местного самоуправления;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обеспечивать соблюдение требований правовых актов Министерства, устанавливающих порядок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работы с персональными данными;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разрабатывать проекты законов и иных нормативных и правовых актов в сфере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none"/>
              </w:rPr>
              <w:t xml:space="preserve">Данные о вакантных должностях в краевых государственных учреждениях, координация и регулирование деятельности, которых возложены на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защите информации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и вычислительная техника» (09.03.01)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  уязвимости   программных   и   программно-аппаратных средств системы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уязвимостей автоматизированных и информационных систем;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 правил   и   процедур   управления   системой  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правил  и  процедур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мониторинга  обеспечения  уровня защищенности информации автоматизированной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оводитель группы (отдела транспортных и технологических сетей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Организует процесс  централизованного технического сопровождения создаваемых автоматизированных информационных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 в исполнительных органах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контроль сопровождения эксплуатации электронного документооборота и обеспечения взаимодействия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08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инженер - программист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и проверка исходного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уровне программных модулей;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 уровне межмодульных взаимодействий и взаимодействий с окружением;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и согласование сроков проверки и отладки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проверки работоспособности программного обеспечения;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сбора диагностических данных;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измерения требуемых характеристик программного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53 192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58 441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Руководитель группы (отдела Удостоверяющий центр)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 специальность:  «Информационная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Осуществлять планирование, контроль точного и своевременного выполнения плана работы и составление отчетных документов Удостоверяющего центра как структурного подразделения Учреждения.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бесперебойную работу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нормативные, инструктивные и другие документы для обеспечения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деятельности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(4 штатных единицы)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 и анализ нереализованных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требностей пользователей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Исследование рынка перспективных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их принципиальных возможностей;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Подготовка плана реализации принятых решений по перспективному развитию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основных этапов обновления версий программного обеспечения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описание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типовых процессов по обновлению версий баз данных;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 Подготовка регламентирующих документов по обновлению версий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62 097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67 450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Старший администратор баз данных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специальность: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Выбор основных средств поддержки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Выявление действий, нарушающих регламент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Корректировка действий при отклонении от регламента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Устранение последствий некорректных действий,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ведущих к снижению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Администратор баз данных отдела коорпаративной сети перидачи данныхи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 специальность:  «Инфокоммуникационные технологии и системы связи» (11.03.02) «Информатика и вычислительная техника» (09.03.01), Прикладная информатика (09.03.03)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Производить мониторинг работы базы данных, в том числе различными автоматизированными средствами;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полученные статистических данных, формировать выводов об эффективности работы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возможности по управлению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Управлять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профессиональное (техническое или инженерно-экономическое) образование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таж работы на руководящих должностях в соответствующей профилю предприятия отрасли не менее пяти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Руководство деятельностью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Организация работы и эффективного взаимодействия всех структурных подразделений субъекта.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Представление интересов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, заключение сделок от его имени.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Обеспечение законности ведения финансово-</w:t>
            </w:r>
            <w:r>
              <w:rPr>
                <w:color w:val="000000" w:themeColor="text1"/>
                <w:sz w:val="22"/>
                <w:szCs w:val="22"/>
              </w:rPr>
              <w:t xml:space="preserve">хозяйственной деятельности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Инженер-проектировщик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менее 2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разработке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Инженер-теплотехник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</w:t>
            </w:r>
            <w:r>
              <w:rPr>
                <w:rFonts w:ascii="Times New Roman" w:hAnsi="Times New Roman" w:cs="Times New Roman"/>
              </w:rPr>
              <w:t xml:space="preserve">профессиональное (техническое) </w:t>
            </w: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таж работы </w:t>
            </w:r>
            <w:r>
              <w:rPr>
                <w:rFonts w:ascii="Times New Roman" w:hAnsi="Times New Roman" w:cs="Times New Roman"/>
              </w:rPr>
              <w:t xml:space="preserve">по специальности в энергетике или </w:t>
            </w:r>
            <w:r>
              <w:rPr>
                <w:rFonts w:ascii="Times New Roman" w:hAnsi="Times New Roman" w:cs="Times New Roman"/>
              </w:rPr>
              <w:t xml:space="preserve">жилищно-коммунальной сфере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-Проектирование, эксплуатирование и обслуживание системы теплоснабжения, вентиляции, кондиционирования и котельное оборудование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-Обеспечение бесперебойной работы сетей, контроль энергопотребления, ремонт оборудования,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ведение документации, соблюдение норм безопасности и энергоэффективности.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Инженер-химик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Высшее техническое или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средне-специальное 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Стаж работы не менее 3-х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мероприятий по внедрению новых технологий, повышению надежности и экономичной работы оборудования химической водоподготовки на котельных и систем питьевого водоснабжения населения;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-Инспектирование работ химической водоподготовки котельных, ЦТП, систем питьевого водоснабжения населения во время эксплуатации, проведения наладочных работ и в переходные периоды;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проведения опытно-экспериментальных работ.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156 547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156 547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Инженер-дефектоскопист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техническое или средне-специальное образование;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.</w: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Cs w:val="21"/>
              </w:rPr>
              <w:t xml:space="preserve">таж работы в качестве специалиста по неразрушающему контролю (НК) не менее </w:t>
            </w:r>
            <w:r>
              <w:rPr>
                <w:rFonts w:ascii="Times New Roman" w:hAnsi="Times New Roman" w:cs="Times New Roman"/>
                <w:szCs w:val="21"/>
              </w:rPr>
              <w:t xml:space="preserve">2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-6" w:hanging="718"/>
              <w:jc w:val="center"/>
              <w:spacing w:before="100" w:beforeAutospacing="1" w:after="100" w:afterAutospacing="1"/>
              <w:shd w:val="clear" w:color="auto" w:fill="ffffff"/>
              <w:tabs>
                <w:tab w:val="num" w:pos="36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работ по неразрушающему контролю с применением ультразвукового, магнитопорошкового, капиллярного, визуально-измерительного, радиографического и иных методов.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08"/>
              <w:jc w:val="center"/>
              <w:spacing w:before="100" w:beforeAutospacing="1" w:after="100" w:afterAutospacing="1"/>
              <w:shd w:val="clear" w:color="auto" w:fill="ffffff"/>
              <w:tabs>
                <w:tab w:val="num" w:pos="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технологических карт (инструкций) по неразрушающему контролю.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68"/>
              <w:jc w:val="center"/>
              <w:spacing w:before="100" w:beforeAutospacing="1" w:after="100" w:afterAutospacing="1"/>
              <w:shd w:val="clear" w:color="auto" w:fill="ffffff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отчетной документации по результатам контроля.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ысшее профессиональное 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е менее 2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-С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оставление и проверк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сметной документации (локальных, объектных, сводных), определение объемов работ, согласование договоров, а также подготовку актов выполненных работ (КС-2, КС-3)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78 854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78 854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Водитель</w:t>
            </w:r>
            <w:r>
              <w:rPr>
                <w:rFonts w:ascii="Times New Roman" w:hAnsi="Times New Roman" w:cs="Times New Roman"/>
                <w:b w:val="0"/>
                <w:bCs w:val="0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Не менее 2 </w:t>
            </w:r>
            <w:r>
              <w:rPr>
                <w:rFonts w:ascii="Times New Roman" w:hAnsi="Times New Roman" w:cs="Times New Roman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Техническое обслуживание</w:t>
            </w:r>
            <w:r>
              <w:rPr>
                <w:color w:val="000000" w:themeColor="text1"/>
                <w:sz w:val="22"/>
                <w:szCs w:val="22"/>
              </w:rPr>
              <w:t xml:space="preserve">: ежедневный осмотр, контроль технического состояния, своевременная подача заявок на ремонт, </w:t>
            </w:r>
            <w:r>
              <w:rPr>
                <w:color w:val="000000" w:themeColor="text1"/>
                <w:sz w:val="22"/>
                <w:szCs w:val="22"/>
              </w:rPr>
              <w:t xml:space="preserve">поддержание чистоты салона.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Безопасное вождение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соблюдение ПДД, обеспечение безопасности пассажиров, следование правилам перевозки.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Документационное обеспечение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правильное оформление путевых листов, ведение журнала учёта пробега, контроль сроков страховки.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Сервисное обслуживание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вежливое и корректное взаимодействие с пассажирами, помощь при погрузке/выгрузке.</w:t>
            </w:r>
            <w:r>
              <w:rPr>
                <w:color w:val="333333"/>
                <w:sz w:val="22"/>
                <w:szCs w:val="22"/>
              </w:rPr>
            </w:r>
            <w:r>
              <w:rPr>
                <w:color w:val="333333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Горковенко</w:t>
            </w:r>
            <w:r>
              <w:rPr>
                <w:rFonts w:ascii="Times New Roman" w:hAnsi="Times New Roman" w:cs="Times New Roman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Специалист по мониторингу (диспетчер)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0,5 ед.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или высшее образование, а также прохождение специализированных курсов или программ переподготовки в сфере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автотранспорта и энергетики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менее 2 года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Ведение, контроль и мониторинг требуемого режима работы котельного и теплового оборудования;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Выявление причин и мониторинг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предпринимаемых мер по устранению технологических нарушений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работы тепло - энергоснабжения, водоснабжения;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Мониторинг производства переключений, пусков и остановок;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Мониторинг локализаций аварий и восстановление режима работы;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Мониторинг и контроль производства аварийных, ремонтных работ.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Чита, ул. Журавлева, д.20, к. № 602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color w:val="000000"/>
        <w:sz w:val="24"/>
        <w:szCs w:val="24"/>
        <w:lang w:val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3"/>
    <w:next w:val="863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4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3"/>
    <w:next w:val="863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4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4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4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4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4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4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3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3"/>
    <w:next w:val="86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3"/>
    <w:next w:val="86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3"/>
    <w:next w:val="863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3"/>
    <w:next w:val="863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4"/>
    <w:link w:val="714"/>
    <w:uiPriority w:val="99"/>
  </w:style>
  <w:style w:type="paragraph" w:styleId="716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4"/>
    <w:link w:val="716"/>
    <w:uiPriority w:val="99"/>
  </w:style>
  <w:style w:type="paragraph" w:styleId="718">
    <w:name w:val="Caption"/>
    <w:basedOn w:val="863"/>
    <w:next w:val="863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4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table" w:styleId="867">
    <w:name w:val="Table Grid"/>
    <w:basedOn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Plain Text"/>
    <w:basedOn w:val="71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Без интервала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1" w:customStyle="1">
    <w:name w:val="Основной текст2"/>
    <w:basedOn w:val="746"/>
    <w:link w:val="77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8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3" w:customStyle="1">
    <w:name w:val="uv3um"/>
  </w:style>
  <w:style w:type="paragraph" w:styleId="874" w:customStyle="1">
    <w:name w:val="futurismarkdown-listitem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5" w:customStyle="1">
    <w:name w:val="Strong"/>
    <w:uiPriority w:val="22"/>
    <w:qFormat/>
    <w:rPr>
      <w:b/>
      <w:bCs/>
    </w:rPr>
  </w:style>
  <w:style w:type="paragraph" w:styleId="876" w:customStyle="1">
    <w:name w:val="trt0x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ossluzhba.gov.ru/vacancy/9e5daf3a-3f3a-4138-a544-f9e9f6e818ab" TargetMode="External"/><Relationship Id="rId10" Type="http://schemas.openxmlformats.org/officeDocument/2006/relationships/hyperlink" Target="https://gossluzhba.gov.ru/vacancy/b1b5082f-8409-46a8-a9c5-0f63dfacd82f" TargetMode="External"/><Relationship Id="rId11" Type="http://schemas.openxmlformats.org/officeDocument/2006/relationships/hyperlink" Target="https://gossluzhba.gov.ru/vacancy/f244065b-ca82-4877-a3df-1cb934c335f2" TargetMode="External"/><Relationship Id="rId12" Type="http://schemas.openxmlformats.org/officeDocument/2006/relationships/hyperlink" Target="https://gossluzhba.gov.ru/vacancy/5e18d2e0-735c-4e06-a187-24eab1ce8fa3" TargetMode="External"/><Relationship Id="rId13" Type="http://schemas.openxmlformats.org/officeDocument/2006/relationships/hyperlink" Target="https://gossluzhba.gov.ru/vacancy/4514faff-de5a-4776-adf4-ac5982aeb25e" TargetMode="External"/><Relationship Id="rId14" Type="http://schemas.openxmlformats.org/officeDocument/2006/relationships/hyperlink" Target="https://gossluzhba.gov.ru/vacancy/bd87faa2-e2e1-4e67-b77a-3b15a530b28a" TargetMode="External"/><Relationship Id="rId15" Type="http://schemas.openxmlformats.org/officeDocument/2006/relationships/hyperlink" Target="https://gossluzhba.gov.ru/vacancy/1b19be1b-ec82-4cf9-ae6f-f88161b8458d" TargetMode="External"/><Relationship Id="rId16" Type="http://schemas.openxmlformats.org/officeDocument/2006/relationships/hyperlink" Target="https://gossluzhba.gov.ru/vacancy/4585f0b0-1be8-4283-a9ac-a795c517a074" TargetMode="External"/><Relationship Id="rId17" Type="http://schemas.openxmlformats.org/officeDocument/2006/relationships/hyperlink" Target="https://gossluzhba.gov.ru/vacancy/a0b4c39e-c772-4ddd-abc3-7b2255e102b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sva2</cp:lastModifiedBy>
  <cp:revision>102</cp:revision>
  <dcterms:created xsi:type="dcterms:W3CDTF">2025-01-27T03:27:00Z</dcterms:created>
  <dcterms:modified xsi:type="dcterms:W3CDTF">2026-05-18T03:09:20Z</dcterms:modified>
</cp:coreProperties>
</file>